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14" w:rsidRPr="00045714" w:rsidRDefault="00045714" w:rsidP="00045714">
      <w:pPr>
        <w:spacing w:after="0" w:line="22" w:lineRule="atLeast"/>
        <w:jc w:val="center"/>
        <w:outlineLvl w:val="2"/>
        <w:rPr>
          <w:rFonts w:ascii="Arial" w:eastAsia="Times New Roman" w:hAnsi="Arial" w:cs="Arial"/>
          <w:b/>
          <w:bCs/>
          <w:color w:val="000000"/>
          <w:spacing w:val="17"/>
          <w:sz w:val="21"/>
          <w:szCs w:val="21"/>
        </w:rPr>
      </w:pPr>
      <w:r w:rsidRPr="00045714">
        <w:rPr>
          <w:rFonts w:ascii="Arial" w:eastAsia="Times New Roman" w:hAnsi="Arial" w:cs="Arial"/>
          <w:b/>
          <w:bCs/>
          <w:color w:val="000000"/>
          <w:spacing w:val="17"/>
          <w:sz w:val="21"/>
          <w:szCs w:val="21"/>
        </w:rPr>
        <w:t>Tax Tips</w:t>
      </w:r>
    </w:p>
    <w:p w:rsidR="00045714" w:rsidRPr="00045714" w:rsidRDefault="00045714" w:rsidP="00045714">
      <w:pPr>
        <w:spacing w:after="0" w:line="22" w:lineRule="atLeast"/>
        <w:outlineLvl w:val="2"/>
        <w:rPr>
          <w:rFonts w:ascii="Arial" w:eastAsia="Times New Roman" w:hAnsi="Arial" w:cs="Arial"/>
          <w:b/>
          <w:bCs/>
          <w:color w:val="000000"/>
          <w:spacing w:val="17"/>
          <w:sz w:val="21"/>
          <w:szCs w:val="21"/>
        </w:rPr>
      </w:pPr>
    </w:p>
    <w:p w:rsidR="00045714" w:rsidRPr="00045714" w:rsidRDefault="00045714" w:rsidP="00045714">
      <w:pPr>
        <w:spacing w:after="0" w:line="22" w:lineRule="atLeast"/>
        <w:outlineLvl w:val="2"/>
        <w:rPr>
          <w:rFonts w:ascii="Arial" w:eastAsia="Times New Roman" w:hAnsi="Arial" w:cs="Arial"/>
          <w:b/>
          <w:bCs/>
          <w:color w:val="000000"/>
          <w:spacing w:val="17"/>
          <w:sz w:val="21"/>
          <w:szCs w:val="21"/>
        </w:rPr>
      </w:pPr>
      <w:r w:rsidRPr="00045714">
        <w:rPr>
          <w:rFonts w:ascii="Arial" w:eastAsia="Times New Roman" w:hAnsi="Arial" w:cs="Arial"/>
          <w:b/>
          <w:bCs/>
          <w:color w:val="000000"/>
          <w:spacing w:val="17"/>
          <w:sz w:val="21"/>
          <w:szCs w:val="21"/>
        </w:rPr>
        <w:t>Deduction for Student Loan I</w:t>
      </w:r>
      <w:r w:rsidR="00DB4B57" w:rsidRPr="00DB4B57">
        <w:rPr>
          <w:rFonts w:ascii="Arial" w:eastAsia="Times New Roman" w:hAnsi="Arial" w:cs="Arial"/>
          <w:b/>
          <w:bCs/>
          <w:color w:val="000000"/>
          <w:spacing w:val="17"/>
          <w:sz w:val="21"/>
          <w:szCs w:val="21"/>
        </w:rPr>
        <w:t>nterest</w:t>
      </w:r>
      <w:bookmarkStart w:id="0" w:name="HD-DOCASSEMBLY"/>
    </w:p>
    <w:p w:rsidR="00DB4B57" w:rsidRPr="00DB4B57" w:rsidRDefault="00DB4B57" w:rsidP="00045714">
      <w:pPr>
        <w:spacing w:after="0" w:line="22" w:lineRule="atLeast"/>
        <w:outlineLvl w:val="2"/>
        <w:rPr>
          <w:rFonts w:ascii="Arial" w:eastAsia="Times New Roman" w:hAnsi="Arial" w:cs="Arial"/>
          <w:b/>
          <w:bCs/>
          <w:color w:val="000000"/>
          <w:spacing w:val="17"/>
          <w:sz w:val="21"/>
          <w:szCs w:val="21"/>
        </w:rPr>
      </w:pPr>
      <w:r w:rsidRPr="00DB4B57">
        <w:rPr>
          <w:rFonts w:ascii="Arial" w:eastAsia="Times New Roman" w:hAnsi="Arial" w:cs="Arial"/>
          <w:b/>
          <w:bCs/>
          <w:noProof/>
          <w:color w:val="145DA4"/>
          <w:spacing w:val="2"/>
          <w:sz w:val="21"/>
          <w:szCs w:val="21"/>
        </w:rPr>
        <mc:AlternateContent>
          <mc:Choice Requires="wps">
            <w:drawing>
              <wp:inline distT="0" distB="0" distL="0" distR="0" wp14:anchorId="18AA3BD4" wp14:editId="55C5F414">
                <wp:extent cx="304800" cy="304800"/>
                <wp:effectExtent l="0" t="0" r="0" b="0"/>
                <wp:docPr id="2" name="AutoShape 2" descr="Document Assembly">
                  <a:hlinkClick xmlns:a="http://schemas.openxmlformats.org/drawingml/2006/main" r:id="rId5" tgtFrame="&quot;popu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ocument Assembly" href="https://checkpoint.riag.com/app/view/hotDocsInterviewPopUp?DocID=i4550ad3081dae5c4d22d997314e1a554&amp;docTid=T0CLETTERS%3A364.19-1&amp;feature=ttoc&amp;hdId=ic3dcc899f48dce9bbf9d9206fce9c988&amp;hdInterviewType=hd-docassembly&amp;lastCpReqId=2487728" target="&quot;popup&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&#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" o:button="t" filled="f" stroked="f">
                <v:fill o:detectmouseclick="t"/>
                <o:lock v:ext="edit" aspectratio="t"/>
                <w10:anchorlock/>
              </v:rect>
            </w:pict>
          </mc:Fallback>
        </mc:AlternateContent>
      </w:r>
      <w:bookmarkEnd w:id="0"/>
    </w:p>
    <w:p w:rsidR="00DB4B57" w:rsidRPr="00045714" w:rsidRDefault="00045714" w:rsidP="00045714">
      <w:pPr>
        <w:spacing w:after="0" w:line="22" w:lineRule="atLeast"/>
        <w:rPr>
          <w:rFonts w:ascii="Arial" w:eastAsia="Times New Roman" w:hAnsi="Arial" w:cs="Arial"/>
          <w:color w:val="252525"/>
          <w:sz w:val="21"/>
          <w:szCs w:val="21"/>
        </w:rPr>
      </w:pPr>
      <w:r w:rsidRPr="00045714">
        <w:rPr>
          <w:rFonts w:ascii="Arial" w:eastAsia="Times New Roman" w:hAnsi="Arial" w:cs="Arial"/>
          <w:color w:val="252525"/>
          <w:sz w:val="21"/>
          <w:szCs w:val="21"/>
        </w:rPr>
        <w:t>I</w:t>
      </w:r>
      <w:r w:rsidR="00DB4B57" w:rsidRPr="00DB4B57">
        <w:rPr>
          <w:rFonts w:ascii="Arial" w:eastAsia="Times New Roman" w:hAnsi="Arial" w:cs="Arial"/>
          <w:color w:val="252525"/>
          <w:sz w:val="21"/>
          <w:szCs w:val="21"/>
        </w:rPr>
        <w:t xml:space="preserve">f you </w:t>
      </w:r>
      <w:r w:rsidRPr="00045714">
        <w:rPr>
          <w:rFonts w:ascii="Arial" w:eastAsia="Times New Roman" w:hAnsi="Arial" w:cs="Arial"/>
          <w:color w:val="252525"/>
          <w:sz w:val="21"/>
          <w:szCs w:val="21"/>
        </w:rPr>
        <w:t xml:space="preserve">are wondering whether or not you </w:t>
      </w:r>
      <w:r w:rsidR="00DB4B57" w:rsidRPr="00DB4B57">
        <w:rPr>
          <w:rFonts w:ascii="Arial" w:eastAsia="Times New Roman" w:hAnsi="Arial" w:cs="Arial"/>
          <w:color w:val="252525"/>
          <w:sz w:val="21"/>
          <w:szCs w:val="21"/>
        </w:rPr>
        <w:t>can deduct the interest you p</w:t>
      </w:r>
      <w:r w:rsidRPr="00045714">
        <w:rPr>
          <w:rFonts w:ascii="Arial" w:eastAsia="Times New Roman" w:hAnsi="Arial" w:cs="Arial"/>
          <w:color w:val="252525"/>
          <w:sz w:val="21"/>
          <w:szCs w:val="21"/>
        </w:rPr>
        <w:t>ay on your college loans, t</w:t>
      </w:r>
      <w:r w:rsidR="00DB4B57" w:rsidRPr="00DB4B57">
        <w:rPr>
          <w:rFonts w:ascii="Arial" w:eastAsia="Times New Roman" w:hAnsi="Arial" w:cs="Arial"/>
          <w:color w:val="252525"/>
          <w:sz w:val="21"/>
          <w:szCs w:val="21"/>
        </w:rPr>
        <w:t xml:space="preserve">he answer is yes, </w:t>
      </w:r>
      <w:r w:rsidRPr="00045714">
        <w:rPr>
          <w:rFonts w:ascii="Arial" w:eastAsia="Times New Roman" w:hAnsi="Arial" w:cs="Arial"/>
          <w:color w:val="252525"/>
          <w:sz w:val="21"/>
          <w:szCs w:val="21"/>
        </w:rPr>
        <w:t xml:space="preserve">but </w:t>
      </w:r>
      <w:r w:rsidR="00DB4B57" w:rsidRPr="00DB4B57">
        <w:rPr>
          <w:rFonts w:ascii="Arial" w:eastAsia="Times New Roman" w:hAnsi="Arial" w:cs="Arial"/>
          <w:color w:val="252525"/>
          <w:sz w:val="21"/>
          <w:szCs w:val="21"/>
        </w:rPr>
        <w:t>subject to certain limits. The maximum amount of student loan interest you can deduct each year is $2,500. The deduction is phased out if your adjusted gross income (AGI) exceeds certain levels, as explained below.</w:t>
      </w:r>
    </w:p>
    <w:p w:rsidR="00045714" w:rsidRPr="00DB4B57" w:rsidRDefault="00045714" w:rsidP="00045714">
      <w:pPr>
        <w:spacing w:after="0" w:line="22" w:lineRule="atLeast"/>
        <w:rPr>
          <w:rFonts w:ascii="Arial" w:eastAsia="Times New Roman" w:hAnsi="Arial" w:cs="Arial"/>
          <w:color w:val="252525"/>
          <w:sz w:val="21"/>
          <w:szCs w:val="21"/>
        </w:rPr>
      </w:pPr>
    </w:p>
    <w:p w:rsidR="00DB4B57" w:rsidRPr="00045714" w:rsidRDefault="00DB4B57" w:rsidP="00045714">
      <w:pPr>
        <w:spacing w:after="0" w:line="22" w:lineRule="atLeast"/>
        <w:rPr>
          <w:rFonts w:ascii="Arial" w:eastAsia="Times New Roman" w:hAnsi="Arial" w:cs="Arial"/>
          <w:color w:val="252525"/>
          <w:sz w:val="21"/>
          <w:szCs w:val="21"/>
        </w:rPr>
      </w:pPr>
      <w:r w:rsidRPr="00DB4B57">
        <w:rPr>
          <w:rFonts w:ascii="Arial" w:eastAsia="Times New Roman" w:hAnsi="Arial" w:cs="Arial"/>
          <w:color w:val="252525"/>
          <w:sz w:val="21"/>
          <w:szCs w:val="21"/>
        </w:rPr>
        <w:t>The interest must be for a “qualified education loan,” which means a debt incurred to pay tuition, room and board, and related expenses to attend a post-high school educational institution, including certain vocational schools. Certain post-graduate programs also qualify. Thus, an internship or residency program leading to a degree or certificate awarded by an institution of higher education, hospital, or health care facility offering post-graduate training can qualify.</w:t>
      </w:r>
    </w:p>
    <w:p w:rsidR="00045714" w:rsidRPr="00DB4B57" w:rsidRDefault="00045714" w:rsidP="00045714">
      <w:pPr>
        <w:spacing w:after="0" w:line="22" w:lineRule="atLeast"/>
        <w:rPr>
          <w:rFonts w:ascii="Arial" w:eastAsia="Times New Roman" w:hAnsi="Arial" w:cs="Arial"/>
          <w:color w:val="252525"/>
          <w:sz w:val="21"/>
          <w:szCs w:val="21"/>
        </w:rPr>
      </w:pPr>
    </w:p>
    <w:p w:rsidR="00DB4B57" w:rsidRPr="00045714" w:rsidRDefault="00DB4B57" w:rsidP="00045714">
      <w:pPr>
        <w:spacing w:after="0" w:line="22" w:lineRule="atLeast"/>
        <w:rPr>
          <w:rFonts w:ascii="Arial" w:eastAsia="Times New Roman" w:hAnsi="Arial" w:cs="Arial"/>
          <w:color w:val="252525"/>
          <w:sz w:val="21"/>
          <w:szCs w:val="21"/>
        </w:rPr>
      </w:pPr>
      <w:r w:rsidRPr="00DB4B57">
        <w:rPr>
          <w:rFonts w:ascii="Arial" w:eastAsia="Times New Roman" w:hAnsi="Arial" w:cs="Arial"/>
          <w:color w:val="252525"/>
          <w:sz w:val="21"/>
          <w:szCs w:val="21"/>
        </w:rPr>
        <w:t>It doesn't matter when the loan was taken out or whether interest payments made in earlier years on the loan were deductible or not.</w:t>
      </w:r>
    </w:p>
    <w:p w:rsidR="00045714" w:rsidRPr="00DB4B57" w:rsidRDefault="00045714" w:rsidP="00045714">
      <w:pPr>
        <w:spacing w:after="0" w:line="22" w:lineRule="atLeast"/>
        <w:rPr>
          <w:rFonts w:ascii="Arial" w:eastAsia="Times New Roman" w:hAnsi="Arial" w:cs="Arial"/>
          <w:color w:val="252525"/>
          <w:sz w:val="21"/>
          <w:szCs w:val="21"/>
        </w:rPr>
      </w:pPr>
    </w:p>
    <w:p w:rsidR="00DB4B57" w:rsidRPr="00045714" w:rsidRDefault="00DB4B57" w:rsidP="00045714">
      <w:pPr>
        <w:spacing w:after="0" w:line="22" w:lineRule="atLeast"/>
        <w:rPr>
          <w:rFonts w:ascii="Arial" w:eastAsia="Times New Roman" w:hAnsi="Arial" w:cs="Arial"/>
          <w:color w:val="252525"/>
          <w:sz w:val="21"/>
          <w:szCs w:val="21"/>
        </w:rPr>
      </w:pPr>
      <w:r w:rsidRPr="00DB4B57">
        <w:rPr>
          <w:rFonts w:ascii="Arial" w:eastAsia="Times New Roman" w:hAnsi="Arial" w:cs="Arial"/>
          <w:color w:val="252525"/>
          <w:sz w:val="21"/>
          <w:szCs w:val="21"/>
        </w:rPr>
        <w:t>For 2015 and 2016, the deduction is phased out for taxpayers who are married filing jointly with AGI between $130,000 and $160,000 ($65,000 and $80,000 for single filers). The deduction is unavailable for taxpayers with AGI of $160,000 ($80,000 for single filers) or more.</w:t>
      </w:r>
    </w:p>
    <w:p w:rsidR="00045714" w:rsidRPr="00DB4B57" w:rsidRDefault="00045714" w:rsidP="00045714">
      <w:pPr>
        <w:spacing w:after="0" w:line="22" w:lineRule="atLeast"/>
        <w:rPr>
          <w:rFonts w:ascii="Arial" w:eastAsia="Times New Roman" w:hAnsi="Arial" w:cs="Arial"/>
          <w:color w:val="252525"/>
          <w:sz w:val="21"/>
          <w:szCs w:val="21"/>
        </w:rPr>
      </w:pPr>
    </w:p>
    <w:p w:rsidR="00DB4B57" w:rsidRPr="00045714" w:rsidRDefault="00DB4B57" w:rsidP="00045714">
      <w:pPr>
        <w:spacing w:after="0" w:line="22" w:lineRule="atLeast"/>
        <w:rPr>
          <w:rFonts w:ascii="Arial" w:eastAsia="Times New Roman" w:hAnsi="Arial" w:cs="Arial"/>
          <w:color w:val="252525"/>
          <w:sz w:val="21"/>
          <w:szCs w:val="21"/>
        </w:rPr>
      </w:pPr>
      <w:r w:rsidRPr="00DB4B57">
        <w:rPr>
          <w:rFonts w:ascii="Arial" w:eastAsia="Times New Roman" w:hAnsi="Arial" w:cs="Arial"/>
          <w:color w:val="252525"/>
          <w:sz w:val="21"/>
          <w:szCs w:val="21"/>
        </w:rPr>
        <w:t>Married taxpayers must file jointly to claim this deduction.</w:t>
      </w:r>
    </w:p>
    <w:p w:rsidR="00045714" w:rsidRPr="00DB4B57" w:rsidRDefault="00045714" w:rsidP="00045714">
      <w:pPr>
        <w:spacing w:after="0" w:line="22" w:lineRule="atLeast"/>
        <w:rPr>
          <w:rFonts w:ascii="Arial" w:eastAsia="Times New Roman" w:hAnsi="Arial" w:cs="Arial"/>
          <w:color w:val="252525"/>
          <w:sz w:val="21"/>
          <w:szCs w:val="21"/>
        </w:rPr>
      </w:pPr>
    </w:p>
    <w:p w:rsidR="00DB4B57" w:rsidRPr="00045714" w:rsidRDefault="00DB4B57" w:rsidP="00045714">
      <w:pPr>
        <w:spacing w:after="0" w:line="22" w:lineRule="atLeast"/>
        <w:rPr>
          <w:rFonts w:ascii="Arial" w:eastAsia="Times New Roman" w:hAnsi="Arial" w:cs="Arial"/>
          <w:color w:val="252525"/>
          <w:sz w:val="21"/>
          <w:szCs w:val="21"/>
        </w:rPr>
      </w:pPr>
      <w:r w:rsidRPr="00DB4B57">
        <w:rPr>
          <w:rFonts w:ascii="Arial" w:eastAsia="Times New Roman" w:hAnsi="Arial" w:cs="Arial"/>
          <w:color w:val="252525"/>
          <w:sz w:val="21"/>
          <w:szCs w:val="21"/>
        </w:rPr>
        <w:t>No deduction is allowed to a taxpayer who can be claimed as a dependent on another's return. For example, in the typical situation where a parent is paying for the college education of a child whom the parent is claiming as a dependent, the interest deduction is only available for interest the parent pays on a qualifying loan, not for any interest the child/student may pay on a loan the student may have taken out. The child will be able to deduct interest that is paid in a later year when he or she is no longer a dependent.</w:t>
      </w:r>
    </w:p>
    <w:p w:rsidR="00045714" w:rsidRPr="00DB4B57" w:rsidRDefault="00045714" w:rsidP="00045714">
      <w:pPr>
        <w:spacing w:after="0" w:line="22" w:lineRule="atLeast"/>
        <w:rPr>
          <w:rFonts w:ascii="Arial" w:eastAsia="Times New Roman" w:hAnsi="Arial" w:cs="Arial"/>
          <w:color w:val="252525"/>
          <w:sz w:val="21"/>
          <w:szCs w:val="21"/>
        </w:rPr>
      </w:pPr>
    </w:p>
    <w:p w:rsidR="00DB4B57" w:rsidRPr="00045714" w:rsidRDefault="00DB4B57" w:rsidP="00045714">
      <w:pPr>
        <w:spacing w:after="0" w:line="22" w:lineRule="atLeast"/>
        <w:rPr>
          <w:rFonts w:ascii="Arial" w:eastAsia="Times New Roman" w:hAnsi="Arial" w:cs="Arial"/>
          <w:color w:val="252525"/>
          <w:sz w:val="21"/>
          <w:szCs w:val="21"/>
        </w:rPr>
      </w:pPr>
      <w:r w:rsidRPr="00DB4B57">
        <w:rPr>
          <w:rFonts w:ascii="Arial" w:eastAsia="Times New Roman" w:hAnsi="Arial" w:cs="Arial"/>
          <w:color w:val="252525"/>
          <w:sz w:val="21"/>
          <w:szCs w:val="21"/>
        </w:rPr>
        <w:t>The deduction is taken “above the line.” In other words, it's subtracted from gross income to determine AGI. Thus, it's available even to taxpayers who don't itemize deductions.</w:t>
      </w:r>
    </w:p>
    <w:p w:rsidR="00045714" w:rsidRPr="00DB4B57" w:rsidRDefault="00045714" w:rsidP="00045714">
      <w:pPr>
        <w:spacing w:after="0" w:line="22" w:lineRule="atLeast"/>
        <w:rPr>
          <w:rFonts w:ascii="Arial" w:eastAsia="Times New Roman" w:hAnsi="Arial" w:cs="Arial"/>
          <w:color w:val="252525"/>
          <w:sz w:val="21"/>
          <w:szCs w:val="21"/>
        </w:rPr>
      </w:pPr>
    </w:p>
    <w:p w:rsidR="00DB4B57" w:rsidRPr="00045714" w:rsidRDefault="00DB4B57" w:rsidP="00045714">
      <w:pPr>
        <w:spacing w:after="0" w:line="22" w:lineRule="atLeast"/>
        <w:rPr>
          <w:rFonts w:ascii="Arial" w:eastAsia="Times New Roman" w:hAnsi="Arial" w:cs="Arial"/>
          <w:color w:val="252525"/>
          <w:sz w:val="21"/>
          <w:szCs w:val="21"/>
        </w:rPr>
      </w:pPr>
      <w:r w:rsidRPr="00DB4B57">
        <w:rPr>
          <w:rFonts w:ascii="Arial" w:eastAsia="Times New Roman" w:hAnsi="Arial" w:cs="Arial"/>
          <w:b/>
          <w:bCs/>
          <w:color w:val="252525"/>
          <w:sz w:val="21"/>
          <w:szCs w:val="21"/>
        </w:rPr>
        <w:t>Other requirements.</w:t>
      </w:r>
      <w:r w:rsidRPr="00DB4B57">
        <w:rPr>
          <w:rFonts w:ascii="Arial" w:eastAsia="Times New Roman" w:hAnsi="Arial" w:cs="Arial"/>
          <w:color w:val="252525"/>
          <w:sz w:val="21"/>
          <w:szCs w:val="21"/>
        </w:rPr>
        <w:t> The interest must be on funds borrowed to cover qualified education costs of the taxpayer or his spouse or dependent. The student must be a degree candidate carrying at least half the normal full-time workload. Also, the education expenses must be paid or incurred within a reasonable time before or after the loan is taken out.</w:t>
      </w:r>
    </w:p>
    <w:p w:rsidR="00045714" w:rsidRPr="00DB4B57" w:rsidRDefault="00045714" w:rsidP="00045714">
      <w:pPr>
        <w:spacing w:after="0" w:line="22" w:lineRule="atLeast"/>
        <w:rPr>
          <w:rFonts w:ascii="Arial" w:eastAsia="Times New Roman" w:hAnsi="Arial" w:cs="Arial"/>
          <w:color w:val="252525"/>
          <w:sz w:val="21"/>
          <w:szCs w:val="21"/>
        </w:rPr>
      </w:pPr>
    </w:p>
    <w:p w:rsidR="00DB4B57" w:rsidRPr="00045714" w:rsidRDefault="00DB4B57" w:rsidP="00045714">
      <w:pPr>
        <w:spacing w:after="0" w:line="22" w:lineRule="atLeast"/>
        <w:rPr>
          <w:rFonts w:ascii="Arial" w:eastAsia="Times New Roman" w:hAnsi="Arial" w:cs="Arial"/>
          <w:color w:val="252525"/>
          <w:sz w:val="21"/>
          <w:szCs w:val="21"/>
        </w:rPr>
      </w:pPr>
      <w:r w:rsidRPr="00DB4B57">
        <w:rPr>
          <w:rFonts w:ascii="Arial" w:eastAsia="Times New Roman" w:hAnsi="Arial" w:cs="Arial"/>
          <w:color w:val="252525"/>
          <w:sz w:val="21"/>
          <w:szCs w:val="21"/>
        </w:rPr>
        <w:t>Taxpayers must keep records to verify qualifying expenditures. Documenting a tuition expense isn't likely to pose a problem. However, care should be taken to document other qualifying education-related expenditures such as for books, equipment, fees, and transportation.</w:t>
      </w:r>
    </w:p>
    <w:p w:rsidR="00045714" w:rsidRPr="00DB4B57" w:rsidRDefault="00045714" w:rsidP="00045714">
      <w:pPr>
        <w:spacing w:after="0" w:line="22" w:lineRule="atLeast"/>
        <w:rPr>
          <w:rFonts w:ascii="Arial" w:eastAsia="Times New Roman" w:hAnsi="Arial" w:cs="Arial"/>
          <w:color w:val="252525"/>
          <w:sz w:val="21"/>
          <w:szCs w:val="21"/>
        </w:rPr>
      </w:pPr>
    </w:p>
    <w:p w:rsidR="00DB4B57" w:rsidRPr="00045714" w:rsidRDefault="00DB4B57" w:rsidP="00045714">
      <w:pPr>
        <w:spacing w:after="0" w:line="22" w:lineRule="atLeast"/>
        <w:rPr>
          <w:rFonts w:ascii="Arial" w:eastAsia="Times New Roman" w:hAnsi="Arial" w:cs="Arial"/>
          <w:color w:val="252525"/>
          <w:sz w:val="21"/>
          <w:szCs w:val="21"/>
        </w:rPr>
      </w:pPr>
      <w:r w:rsidRPr="00DB4B57">
        <w:rPr>
          <w:rFonts w:ascii="Arial" w:eastAsia="Times New Roman" w:hAnsi="Arial" w:cs="Arial"/>
          <w:color w:val="252525"/>
          <w:sz w:val="21"/>
          <w:szCs w:val="21"/>
        </w:rPr>
        <w:t>Documenting room and board expenses should be straightforward for students living and dining on campus. Student who live off campus should maintain records of room and board expenses, especially when there are complicating factors such as roommates.</w:t>
      </w:r>
    </w:p>
    <w:p w:rsidR="00045714" w:rsidRPr="00045714" w:rsidRDefault="00045714" w:rsidP="00045714">
      <w:pPr>
        <w:spacing w:after="0" w:line="22" w:lineRule="atLeast"/>
        <w:rPr>
          <w:rFonts w:ascii="Arial" w:eastAsia="Times New Roman" w:hAnsi="Arial" w:cs="Arial"/>
          <w:color w:val="252525"/>
          <w:sz w:val="21"/>
          <w:szCs w:val="21"/>
        </w:rPr>
      </w:pPr>
    </w:p>
    <w:p w:rsidR="00045714" w:rsidRPr="00045714" w:rsidRDefault="00045714" w:rsidP="00045714">
      <w:pPr>
        <w:spacing w:after="0" w:line="22" w:lineRule="atLeast"/>
        <w:rPr>
          <w:rFonts w:ascii="Arial" w:hAnsi="Arial" w:cs="Arial"/>
          <w:sz w:val="21"/>
          <w:szCs w:val="21"/>
        </w:rPr>
      </w:pPr>
      <w:r w:rsidRPr="00045714">
        <w:rPr>
          <w:rFonts w:ascii="Arial" w:hAnsi="Arial" w:cs="Arial"/>
          <w:sz w:val="21"/>
          <w:szCs w:val="21"/>
        </w:rPr>
        <w:t>If you have any questions concerning this topic, please do not hesitate to call me at (562) 698-9891.</w:t>
      </w:r>
    </w:p>
    <w:p w:rsidR="00045714" w:rsidRPr="00045714" w:rsidRDefault="00045714" w:rsidP="00045714">
      <w:pPr>
        <w:spacing w:after="0" w:line="22" w:lineRule="atLeast"/>
        <w:rPr>
          <w:rFonts w:ascii="Arial" w:hAnsi="Arial" w:cs="Arial"/>
          <w:sz w:val="21"/>
          <w:szCs w:val="21"/>
        </w:rPr>
      </w:pPr>
    </w:p>
    <w:p w:rsidR="00045714" w:rsidRPr="00045714" w:rsidRDefault="00045714" w:rsidP="00045714">
      <w:pPr>
        <w:spacing w:after="0" w:line="22" w:lineRule="atLeast"/>
        <w:rPr>
          <w:rFonts w:ascii="Arial" w:eastAsia="Times New Roman" w:hAnsi="Arial" w:cs="Arial"/>
          <w:sz w:val="21"/>
          <w:szCs w:val="21"/>
        </w:rPr>
      </w:pPr>
      <w:r w:rsidRPr="00045714">
        <w:rPr>
          <w:rFonts w:ascii="Arial" w:eastAsia="Times New Roman" w:hAnsi="Arial" w:cs="Arial"/>
          <w:sz w:val="21"/>
          <w:szCs w:val="21"/>
        </w:rPr>
        <w:t>Richard Scrivanich, Partner</w:t>
      </w:r>
    </w:p>
    <w:p w:rsidR="00045714" w:rsidRPr="00045714" w:rsidRDefault="00045714" w:rsidP="00045714">
      <w:pPr>
        <w:spacing w:after="0" w:line="22" w:lineRule="atLeast"/>
        <w:rPr>
          <w:rFonts w:ascii="Arial" w:eastAsia="Times New Roman" w:hAnsi="Arial" w:cs="Arial"/>
          <w:sz w:val="21"/>
          <w:szCs w:val="21"/>
        </w:rPr>
      </w:pPr>
      <w:r w:rsidRPr="00045714">
        <w:rPr>
          <w:rFonts w:ascii="Arial" w:eastAsia="Times New Roman" w:hAnsi="Arial" w:cs="Arial"/>
          <w:sz w:val="21"/>
          <w:szCs w:val="21"/>
        </w:rPr>
        <w:t>For Harvey &amp; Parmelee LLP</w:t>
      </w:r>
    </w:p>
    <w:p w:rsidR="00045714" w:rsidRPr="00DB4B57" w:rsidRDefault="00045714" w:rsidP="00045714">
      <w:pPr>
        <w:spacing w:after="0" w:line="22" w:lineRule="atLeast"/>
        <w:rPr>
          <w:rFonts w:ascii="Arial" w:eastAsia="Times New Roman" w:hAnsi="Arial" w:cs="Arial"/>
          <w:color w:val="252525"/>
        </w:rPr>
      </w:pPr>
      <w:bookmarkStart w:id="1" w:name="_GoBack"/>
      <w:bookmarkEnd w:id="1"/>
    </w:p>
    <w:sectPr w:rsidR="00045714" w:rsidRPr="00DB4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57"/>
    <w:rsid w:val="00045714"/>
    <w:rsid w:val="000F696A"/>
    <w:rsid w:val="001C6E73"/>
    <w:rsid w:val="001D0012"/>
    <w:rsid w:val="001E4926"/>
    <w:rsid w:val="002516B4"/>
    <w:rsid w:val="00317461"/>
    <w:rsid w:val="003F35A1"/>
    <w:rsid w:val="005B2B71"/>
    <w:rsid w:val="0062153C"/>
    <w:rsid w:val="007B21FE"/>
    <w:rsid w:val="008B7092"/>
    <w:rsid w:val="0098172E"/>
    <w:rsid w:val="00A26A35"/>
    <w:rsid w:val="00AD32C8"/>
    <w:rsid w:val="00B133FD"/>
    <w:rsid w:val="00B35985"/>
    <w:rsid w:val="00DB4B57"/>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35627">
      <w:bodyDiv w:val="1"/>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sChild>
            <w:div w:id="730228695">
              <w:marLeft w:val="0"/>
              <w:marRight w:val="0"/>
              <w:marTop w:val="0"/>
              <w:marBottom w:val="0"/>
              <w:divBdr>
                <w:top w:val="none" w:sz="0" w:space="0" w:color="auto"/>
                <w:left w:val="none" w:sz="0" w:space="0" w:color="auto"/>
                <w:bottom w:val="none" w:sz="0" w:space="0" w:color="auto"/>
                <w:right w:val="none" w:sz="0" w:space="0" w:color="auto"/>
              </w:divBdr>
              <w:divsChild>
                <w:div w:id="1441296026">
                  <w:marLeft w:val="0"/>
                  <w:marRight w:val="0"/>
                  <w:marTop w:val="0"/>
                  <w:marBottom w:val="0"/>
                  <w:divBdr>
                    <w:top w:val="none" w:sz="0" w:space="0" w:color="auto"/>
                    <w:left w:val="none" w:sz="0" w:space="0" w:color="auto"/>
                    <w:bottom w:val="none" w:sz="0" w:space="0" w:color="auto"/>
                    <w:right w:val="none" w:sz="0" w:space="0" w:color="auto"/>
                  </w:divBdr>
                  <w:divsChild>
                    <w:div w:id="493449042">
                      <w:marLeft w:val="600"/>
                      <w:marRight w:val="0"/>
                      <w:marTop w:val="264"/>
                      <w:marBottom w:val="264"/>
                      <w:divBdr>
                        <w:top w:val="none" w:sz="0" w:space="0" w:color="auto"/>
                        <w:left w:val="none" w:sz="0" w:space="0" w:color="auto"/>
                        <w:bottom w:val="none" w:sz="0" w:space="0" w:color="auto"/>
                        <w:right w:val="none" w:sz="0" w:space="0" w:color="auto"/>
                      </w:divBdr>
                    </w:div>
                  </w:divsChild>
                </w:div>
              </w:divsChild>
            </w:div>
            <w:div w:id="1506091673">
              <w:marLeft w:val="0"/>
              <w:marRight w:val="0"/>
              <w:marTop w:val="300"/>
              <w:marBottom w:val="150"/>
              <w:divBdr>
                <w:top w:val="none" w:sz="0" w:space="0" w:color="auto"/>
                <w:left w:val="none" w:sz="0" w:space="0" w:color="auto"/>
                <w:bottom w:val="none" w:sz="0" w:space="0" w:color="auto"/>
                <w:right w:val="none" w:sz="0" w:space="0" w:color="auto"/>
              </w:divBdr>
            </w:div>
          </w:divsChild>
        </w:div>
        <w:div w:id="1474712540">
          <w:marLeft w:val="0"/>
          <w:marRight w:val="0"/>
          <w:marTop w:val="0"/>
          <w:marBottom w:val="0"/>
          <w:divBdr>
            <w:top w:val="none" w:sz="0" w:space="0" w:color="auto"/>
            <w:left w:val="none" w:sz="0" w:space="0" w:color="auto"/>
            <w:bottom w:val="none" w:sz="0" w:space="0" w:color="auto"/>
            <w:right w:val="none" w:sz="0" w:space="0" w:color="auto"/>
          </w:divBdr>
          <w:divsChild>
            <w:div w:id="6361850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ckpoint.riag.com/app/view/hotDocsInterviewPopUp?DocID=i4550ad3081dae5c4d22d997314e1a554&amp;docTid=T0CLETTERS%3A364.19-1&amp;feature=ttoc&amp;hdId=ic3dcc899f48dce9bbf9d9206fce9c988&amp;hdInterviewType=hd-docassembly&amp;lastCpReqId=24877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1</cp:revision>
  <dcterms:created xsi:type="dcterms:W3CDTF">2016-08-01T20:06:00Z</dcterms:created>
  <dcterms:modified xsi:type="dcterms:W3CDTF">2016-08-01T20:33:00Z</dcterms:modified>
</cp:coreProperties>
</file>