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BF" w:rsidRPr="00F52122" w:rsidRDefault="001433BF" w:rsidP="001433BF">
      <w:pPr>
        <w:spacing w:before="240" w:after="240" w:line="336" w:lineRule="atLeast"/>
        <w:jc w:val="center"/>
        <w:outlineLvl w:val="2"/>
        <w:rPr>
          <w:rFonts w:ascii="Arial" w:eastAsia="Times New Roman" w:hAnsi="Arial" w:cs="Arial"/>
          <w:b/>
          <w:bCs/>
          <w:color w:val="000000"/>
          <w:spacing w:val="17"/>
        </w:rPr>
      </w:pPr>
      <w:r w:rsidRPr="00F52122">
        <w:rPr>
          <w:rFonts w:ascii="Arial" w:eastAsia="Times New Roman" w:hAnsi="Arial" w:cs="Arial"/>
          <w:b/>
          <w:bCs/>
          <w:color w:val="000000"/>
          <w:spacing w:val="17"/>
        </w:rPr>
        <w:t>Tax Tips</w:t>
      </w:r>
    </w:p>
    <w:p w:rsidR="001433BF" w:rsidRPr="00F52122" w:rsidRDefault="001433BF" w:rsidP="001433BF">
      <w:pPr>
        <w:spacing w:before="240" w:after="240" w:line="336" w:lineRule="atLeast"/>
        <w:jc w:val="center"/>
        <w:outlineLvl w:val="2"/>
        <w:rPr>
          <w:rFonts w:ascii="Arial" w:eastAsia="Times New Roman" w:hAnsi="Arial" w:cs="Arial"/>
          <w:b/>
          <w:bCs/>
          <w:color w:val="000000"/>
          <w:spacing w:val="17"/>
        </w:rPr>
      </w:pPr>
      <w:bookmarkStart w:id="0" w:name="_GoBack"/>
      <w:r w:rsidRPr="00F52122">
        <w:rPr>
          <w:rFonts w:ascii="Arial" w:eastAsia="Times New Roman" w:hAnsi="Arial" w:cs="Arial"/>
          <w:b/>
          <w:bCs/>
          <w:color w:val="000000"/>
          <w:spacing w:val="17"/>
        </w:rPr>
        <w:t>Allowing “Catch-up Contributions” to SEPs, SIMPLE IRA, and 401(k) Plans by Individuals Who Have Reached Age 50</w:t>
      </w:r>
    </w:p>
    <w:bookmarkEnd w:id="0"/>
    <w:p w:rsidR="001433BF" w:rsidRDefault="00F52122" w:rsidP="00F52122">
      <w:pPr>
        <w:spacing w:after="0" w:line="264" w:lineRule="auto"/>
        <w:rPr>
          <w:rFonts w:ascii="Arial" w:eastAsia="Times New Roman" w:hAnsi="Arial" w:cs="Arial"/>
          <w:color w:val="252525"/>
          <w:sz w:val="20"/>
          <w:szCs w:val="20"/>
        </w:rPr>
      </w:pPr>
      <w:r>
        <w:rPr>
          <w:rFonts w:ascii="Arial" w:eastAsia="Times New Roman" w:hAnsi="Arial" w:cs="Arial"/>
          <w:color w:val="252525"/>
          <w:sz w:val="20"/>
          <w:szCs w:val="20"/>
        </w:rPr>
        <w:t>If</w:t>
      </w:r>
      <w:r w:rsidR="001433BF" w:rsidRPr="001433BF">
        <w:rPr>
          <w:rFonts w:ascii="Arial" w:eastAsia="Times New Roman" w:hAnsi="Arial" w:cs="Arial"/>
          <w:color w:val="252525"/>
          <w:sz w:val="20"/>
          <w:szCs w:val="20"/>
        </w:rPr>
        <w:t xml:space="preserve"> your business's 401(k) plan, SEP, or SIMPLE IRA plan</w:t>
      </w:r>
      <w:r>
        <w:rPr>
          <w:rFonts w:ascii="Arial" w:eastAsia="Times New Roman" w:hAnsi="Arial" w:cs="Arial"/>
          <w:color w:val="252525"/>
          <w:sz w:val="20"/>
          <w:szCs w:val="20"/>
        </w:rPr>
        <w:t xml:space="preserve"> contains the necessary language, </w:t>
      </w:r>
      <w:r w:rsidR="001433BF" w:rsidRPr="001433BF">
        <w:rPr>
          <w:rFonts w:ascii="Arial" w:eastAsia="Times New Roman" w:hAnsi="Arial" w:cs="Arial"/>
          <w:color w:val="252525"/>
          <w:sz w:val="20"/>
          <w:szCs w:val="20"/>
        </w:rPr>
        <w:t xml:space="preserve">employees who will have reached age 50 by the end of a year to </w:t>
      </w:r>
      <w:proofErr w:type="gramStart"/>
      <w:r>
        <w:rPr>
          <w:rFonts w:ascii="Arial" w:eastAsia="Times New Roman" w:hAnsi="Arial" w:cs="Arial"/>
          <w:color w:val="252525"/>
          <w:sz w:val="20"/>
          <w:szCs w:val="20"/>
        </w:rPr>
        <w:t>are</w:t>
      </w:r>
      <w:proofErr w:type="gramEnd"/>
      <w:r>
        <w:rPr>
          <w:rFonts w:ascii="Arial" w:eastAsia="Times New Roman" w:hAnsi="Arial" w:cs="Arial"/>
          <w:color w:val="252525"/>
          <w:sz w:val="20"/>
          <w:szCs w:val="20"/>
        </w:rPr>
        <w:t xml:space="preserve"> allowed to </w:t>
      </w:r>
      <w:r w:rsidR="001433BF" w:rsidRPr="001433BF">
        <w:rPr>
          <w:rFonts w:ascii="Arial" w:eastAsia="Times New Roman" w:hAnsi="Arial" w:cs="Arial"/>
          <w:color w:val="252525"/>
          <w:sz w:val="20"/>
          <w:szCs w:val="20"/>
        </w:rPr>
        <w:t>make “catch-up contributions” in that year.</w:t>
      </w:r>
    </w:p>
    <w:p w:rsidR="00F52122" w:rsidRPr="001433BF" w:rsidRDefault="00F52122" w:rsidP="00F52122">
      <w:pPr>
        <w:spacing w:after="0" w:line="264" w:lineRule="auto"/>
        <w:rPr>
          <w:rFonts w:ascii="Arial" w:eastAsia="Times New Roman" w:hAnsi="Arial" w:cs="Arial"/>
          <w:color w:val="252525"/>
          <w:sz w:val="20"/>
          <w:szCs w:val="20"/>
        </w:rPr>
      </w:pPr>
    </w:p>
    <w:p w:rsidR="001433BF" w:rsidRDefault="001433BF" w:rsidP="00F52122">
      <w:pPr>
        <w:spacing w:after="0" w:line="264" w:lineRule="auto"/>
        <w:rPr>
          <w:rFonts w:ascii="Arial" w:eastAsia="Times New Roman" w:hAnsi="Arial" w:cs="Arial"/>
          <w:color w:val="252525"/>
          <w:sz w:val="20"/>
          <w:szCs w:val="20"/>
        </w:rPr>
      </w:pPr>
      <w:r w:rsidRPr="001433BF">
        <w:rPr>
          <w:rFonts w:ascii="Arial" w:eastAsia="Times New Roman" w:hAnsi="Arial" w:cs="Arial"/>
          <w:color w:val="252525"/>
          <w:sz w:val="20"/>
          <w:szCs w:val="20"/>
        </w:rPr>
        <w:t>The opportunity for an employee t</w:t>
      </w:r>
      <w:r>
        <w:rPr>
          <w:rFonts w:ascii="Arial" w:eastAsia="Times New Roman" w:hAnsi="Arial" w:cs="Arial"/>
          <w:color w:val="252525"/>
          <w:sz w:val="20"/>
          <w:szCs w:val="20"/>
        </w:rPr>
        <w:t xml:space="preserve">o make “elective deferrals,” that is, </w:t>
      </w:r>
      <w:r w:rsidRPr="001433BF">
        <w:rPr>
          <w:rFonts w:ascii="Arial" w:eastAsia="Times New Roman" w:hAnsi="Arial" w:cs="Arial"/>
          <w:color w:val="252525"/>
          <w:sz w:val="20"/>
          <w:szCs w:val="20"/>
        </w:rPr>
        <w:t>to contribute a portion of his compensation, on a tax-deferred basis, to a 401(k) plan, SIMPLE IRA plan, simplified employee pension (SEP), 403(b) plan, and/or governmental section 457 eligible deferred compensation plan, is one of the most attractive means of saving for retirement. But the Code specifically provides annual limits on the amount of elective deferrals, and indirectly limits elective deferrals through nondiscrimination rules and overall limits on contributions. In addition, many plans provide a cap, usually as a percentage of compensation, on the amount that an employee can contribute to the plan on a tax-deferred basis.</w:t>
      </w:r>
    </w:p>
    <w:p w:rsidR="00F52122" w:rsidRPr="001433BF" w:rsidRDefault="00F52122" w:rsidP="00F52122">
      <w:pPr>
        <w:spacing w:after="0" w:line="264" w:lineRule="auto"/>
        <w:rPr>
          <w:rFonts w:ascii="Arial" w:eastAsia="Times New Roman" w:hAnsi="Arial" w:cs="Arial"/>
          <w:color w:val="252525"/>
          <w:sz w:val="20"/>
          <w:szCs w:val="20"/>
        </w:rPr>
      </w:pPr>
    </w:p>
    <w:p w:rsidR="001433BF" w:rsidRPr="001433BF" w:rsidRDefault="001433BF" w:rsidP="00F52122">
      <w:pPr>
        <w:spacing w:after="0" w:line="264" w:lineRule="auto"/>
        <w:rPr>
          <w:rFonts w:ascii="Arial" w:eastAsia="Times New Roman" w:hAnsi="Arial" w:cs="Arial"/>
          <w:color w:val="252525"/>
          <w:sz w:val="20"/>
          <w:szCs w:val="20"/>
        </w:rPr>
      </w:pPr>
      <w:r w:rsidRPr="001433BF">
        <w:rPr>
          <w:rFonts w:ascii="Arial" w:eastAsia="Times New Roman" w:hAnsi="Arial" w:cs="Arial"/>
          <w:color w:val="252525"/>
          <w:sz w:val="20"/>
          <w:szCs w:val="20"/>
        </w:rPr>
        <w:t>Plans providing for elective deferrals may allow employees who will be age 50 by the end of a year to make additional “catch-up contributions” in that year, regardless of otherwise applicable limits.</w:t>
      </w:r>
    </w:p>
    <w:p w:rsidR="001433BF" w:rsidRDefault="001433BF" w:rsidP="00F52122">
      <w:pPr>
        <w:spacing w:after="0" w:line="264" w:lineRule="auto"/>
        <w:rPr>
          <w:rFonts w:ascii="Arial" w:eastAsia="Times New Roman" w:hAnsi="Arial" w:cs="Arial"/>
          <w:color w:val="252525"/>
          <w:sz w:val="20"/>
          <w:szCs w:val="20"/>
        </w:rPr>
      </w:pPr>
      <w:r w:rsidRPr="001433BF">
        <w:rPr>
          <w:rFonts w:ascii="Arial" w:eastAsia="Times New Roman" w:hAnsi="Arial" w:cs="Arial"/>
          <w:color w:val="252525"/>
          <w:sz w:val="20"/>
          <w:szCs w:val="20"/>
        </w:rPr>
        <w:t>The maximum annual catch-up contribution for plans </w:t>
      </w:r>
      <w:r w:rsidRPr="001433BF">
        <w:rPr>
          <w:rFonts w:ascii="Arial" w:eastAsia="Times New Roman" w:hAnsi="Arial" w:cs="Arial"/>
          <w:i/>
          <w:iCs/>
          <w:color w:val="252525"/>
          <w:sz w:val="20"/>
          <w:szCs w:val="20"/>
        </w:rPr>
        <w:t>other than</w:t>
      </w:r>
      <w:r w:rsidRPr="001433BF">
        <w:rPr>
          <w:rFonts w:ascii="Arial" w:eastAsia="Times New Roman" w:hAnsi="Arial" w:cs="Arial"/>
          <w:color w:val="252525"/>
          <w:sz w:val="20"/>
          <w:szCs w:val="20"/>
        </w:rPr>
        <w:t> SIMPLE 401(k) plans or SIMPLE IRA plans is $6,000 for 2016. This amount will be adjusted for inflation in later years. The maximum annual catch-up contribution for SIMPLE 401(k) plans and SIMPLE IRA plans is $3,000 for 2016. This amount also will be adjusted for inflation in later years.</w:t>
      </w:r>
    </w:p>
    <w:p w:rsidR="00F52122" w:rsidRPr="001433BF" w:rsidRDefault="00F52122" w:rsidP="00F52122">
      <w:pPr>
        <w:spacing w:after="0" w:line="264" w:lineRule="auto"/>
        <w:rPr>
          <w:rFonts w:ascii="Arial" w:eastAsia="Times New Roman" w:hAnsi="Arial" w:cs="Arial"/>
          <w:color w:val="252525"/>
          <w:sz w:val="20"/>
          <w:szCs w:val="20"/>
        </w:rPr>
      </w:pPr>
    </w:p>
    <w:p w:rsidR="001433BF" w:rsidRDefault="001433BF" w:rsidP="00F52122">
      <w:pPr>
        <w:spacing w:after="0" w:line="264" w:lineRule="auto"/>
        <w:rPr>
          <w:rFonts w:ascii="Arial" w:eastAsia="Times New Roman" w:hAnsi="Arial" w:cs="Arial"/>
          <w:color w:val="252525"/>
          <w:sz w:val="20"/>
          <w:szCs w:val="20"/>
        </w:rPr>
      </w:pPr>
      <w:r w:rsidRPr="001433BF">
        <w:rPr>
          <w:rFonts w:ascii="Arial" w:eastAsia="Times New Roman" w:hAnsi="Arial" w:cs="Arial"/>
          <w:color w:val="252525"/>
          <w:sz w:val="20"/>
          <w:szCs w:val="20"/>
        </w:rPr>
        <w:t>Catch-up contributions provide a significant tax deferral opportunity to employees over age 50—even if the over-age-50 employees are mostly highly compensated. That is, catch-up contributions are </w:t>
      </w:r>
      <w:r w:rsidRPr="001433BF">
        <w:rPr>
          <w:rFonts w:ascii="Arial" w:eastAsia="Times New Roman" w:hAnsi="Arial" w:cs="Arial"/>
          <w:i/>
          <w:iCs/>
          <w:color w:val="252525"/>
          <w:sz w:val="20"/>
          <w:szCs w:val="20"/>
        </w:rPr>
        <w:t>not</w:t>
      </w:r>
      <w:r w:rsidRPr="001433BF">
        <w:rPr>
          <w:rFonts w:ascii="Arial" w:eastAsia="Times New Roman" w:hAnsi="Arial" w:cs="Arial"/>
          <w:color w:val="252525"/>
          <w:sz w:val="20"/>
          <w:szCs w:val="20"/>
        </w:rPr>
        <w:t xml:space="preserve"> taken into account in applying most of the nondiscrimination rules that otherwise </w:t>
      </w:r>
      <w:proofErr w:type="gramStart"/>
      <w:r w:rsidRPr="001433BF">
        <w:rPr>
          <w:rFonts w:ascii="Arial" w:eastAsia="Times New Roman" w:hAnsi="Arial" w:cs="Arial"/>
          <w:color w:val="252525"/>
          <w:sz w:val="20"/>
          <w:szCs w:val="20"/>
        </w:rPr>
        <w:t>apply</w:t>
      </w:r>
      <w:proofErr w:type="gramEnd"/>
      <w:r w:rsidRPr="001433BF">
        <w:rPr>
          <w:rFonts w:ascii="Arial" w:eastAsia="Times New Roman" w:hAnsi="Arial" w:cs="Arial"/>
          <w:color w:val="252525"/>
          <w:sz w:val="20"/>
          <w:szCs w:val="20"/>
        </w:rPr>
        <w:t xml:space="preserve"> to 401(k) plans, SEPs, and SIMPLE IRAs. Thus, an eligible employee would be able to defer compensation up to the catch-up contribution maximum amount, in addition to the amount that the employee would otherwise have been able to defer without the catch-up provision.</w:t>
      </w:r>
    </w:p>
    <w:p w:rsidR="00F52122" w:rsidRPr="001433BF" w:rsidRDefault="00F52122" w:rsidP="00F52122">
      <w:pPr>
        <w:spacing w:after="0" w:line="264" w:lineRule="auto"/>
        <w:rPr>
          <w:rFonts w:ascii="Arial" w:eastAsia="Times New Roman" w:hAnsi="Arial" w:cs="Arial"/>
          <w:color w:val="252525"/>
          <w:sz w:val="20"/>
          <w:szCs w:val="20"/>
        </w:rPr>
      </w:pPr>
    </w:p>
    <w:p w:rsidR="001433BF" w:rsidRDefault="001433BF" w:rsidP="00F52122">
      <w:pPr>
        <w:spacing w:after="0" w:line="264" w:lineRule="auto"/>
        <w:rPr>
          <w:rFonts w:ascii="Arial" w:eastAsia="Times New Roman" w:hAnsi="Arial" w:cs="Arial"/>
          <w:color w:val="252525"/>
          <w:sz w:val="20"/>
          <w:szCs w:val="20"/>
        </w:rPr>
      </w:pPr>
      <w:r w:rsidRPr="001433BF">
        <w:rPr>
          <w:rFonts w:ascii="Arial" w:eastAsia="Times New Roman" w:hAnsi="Arial" w:cs="Arial"/>
          <w:color w:val="252525"/>
          <w:sz w:val="20"/>
          <w:szCs w:val="20"/>
        </w:rPr>
        <w:t>The right to make the same catch-up contribution election </w:t>
      </w:r>
      <w:r w:rsidRPr="001433BF">
        <w:rPr>
          <w:rFonts w:ascii="Arial" w:eastAsia="Times New Roman" w:hAnsi="Arial" w:cs="Arial"/>
          <w:i/>
          <w:iCs/>
          <w:color w:val="252525"/>
          <w:sz w:val="20"/>
          <w:szCs w:val="20"/>
        </w:rPr>
        <w:t>does</w:t>
      </w:r>
      <w:r w:rsidRPr="001433BF">
        <w:rPr>
          <w:rFonts w:ascii="Arial" w:eastAsia="Times New Roman" w:hAnsi="Arial" w:cs="Arial"/>
          <w:color w:val="252525"/>
          <w:sz w:val="20"/>
          <w:szCs w:val="20"/>
        </w:rPr>
        <w:t> have to be </w:t>
      </w:r>
      <w:r w:rsidRPr="001433BF">
        <w:rPr>
          <w:rFonts w:ascii="Arial" w:eastAsia="Times New Roman" w:hAnsi="Arial" w:cs="Arial"/>
          <w:i/>
          <w:iCs/>
          <w:color w:val="252525"/>
          <w:sz w:val="20"/>
          <w:szCs w:val="20"/>
        </w:rPr>
        <w:t>available</w:t>
      </w:r>
      <w:r w:rsidRPr="001433BF">
        <w:rPr>
          <w:rFonts w:ascii="Arial" w:eastAsia="Times New Roman" w:hAnsi="Arial" w:cs="Arial"/>
          <w:color w:val="252525"/>
          <w:sz w:val="20"/>
          <w:szCs w:val="20"/>
        </w:rPr>
        <w:t> to all eligible employees, if the employer provides for catch-up contributions under any of its plans. But again, there are no adverse tax consequences if the employees that actually elect to make catch-up contributions are mostly highly compensated employees.</w:t>
      </w:r>
    </w:p>
    <w:p w:rsidR="00F52122" w:rsidRPr="001433BF" w:rsidRDefault="00F52122" w:rsidP="00F52122">
      <w:pPr>
        <w:spacing w:after="0" w:line="264" w:lineRule="auto"/>
        <w:rPr>
          <w:rFonts w:ascii="Arial" w:eastAsia="Times New Roman" w:hAnsi="Arial" w:cs="Arial"/>
          <w:color w:val="252525"/>
          <w:sz w:val="20"/>
          <w:szCs w:val="20"/>
        </w:rPr>
      </w:pPr>
    </w:p>
    <w:p w:rsidR="001433BF" w:rsidRDefault="001433BF" w:rsidP="00F52122">
      <w:pPr>
        <w:spacing w:after="0" w:line="264" w:lineRule="auto"/>
        <w:rPr>
          <w:rFonts w:ascii="Arial" w:eastAsia="Times New Roman" w:hAnsi="Arial" w:cs="Arial"/>
          <w:color w:val="252525"/>
          <w:sz w:val="20"/>
          <w:szCs w:val="20"/>
        </w:rPr>
      </w:pPr>
      <w:r w:rsidRPr="001433BF">
        <w:rPr>
          <w:rFonts w:ascii="Arial" w:eastAsia="Times New Roman" w:hAnsi="Arial" w:cs="Arial"/>
          <w:color w:val="252525"/>
          <w:sz w:val="20"/>
          <w:szCs w:val="20"/>
        </w:rPr>
        <w:t>Unlike catch-up contributions, any contributions that an employer makes to </w:t>
      </w:r>
      <w:r w:rsidRPr="001433BF">
        <w:rPr>
          <w:rFonts w:ascii="Arial" w:eastAsia="Times New Roman" w:hAnsi="Arial" w:cs="Arial"/>
          <w:i/>
          <w:iCs/>
          <w:color w:val="252525"/>
          <w:sz w:val="20"/>
          <w:szCs w:val="20"/>
        </w:rPr>
        <w:t>match</w:t>
      </w:r>
      <w:r w:rsidRPr="001433BF">
        <w:rPr>
          <w:rFonts w:ascii="Arial" w:eastAsia="Times New Roman" w:hAnsi="Arial" w:cs="Arial"/>
          <w:color w:val="252525"/>
          <w:sz w:val="20"/>
          <w:szCs w:val="20"/>
        </w:rPr>
        <w:t> catch-up contributions must still meet all the nondiscrimination rules that otherwise would apply. Also, catch-up contributions for </w:t>
      </w:r>
      <w:r w:rsidRPr="001433BF">
        <w:rPr>
          <w:rFonts w:ascii="Arial" w:eastAsia="Times New Roman" w:hAnsi="Arial" w:cs="Arial"/>
          <w:i/>
          <w:iCs/>
          <w:color w:val="252525"/>
          <w:sz w:val="20"/>
          <w:szCs w:val="20"/>
        </w:rPr>
        <w:t>prior years</w:t>
      </w:r>
      <w:r w:rsidRPr="001433BF">
        <w:rPr>
          <w:rFonts w:ascii="Arial" w:eastAsia="Times New Roman" w:hAnsi="Arial" w:cs="Arial"/>
          <w:color w:val="252525"/>
          <w:sz w:val="20"/>
          <w:szCs w:val="20"/>
        </w:rPr>
        <w:t> are taken into account in applying the top heavy rules and minimum coverage rules, for plans subject to these rules, e.g., 401(k) plans.</w:t>
      </w:r>
    </w:p>
    <w:p w:rsidR="00F52122" w:rsidRDefault="00F52122" w:rsidP="00F52122">
      <w:pPr>
        <w:spacing w:after="0" w:line="264" w:lineRule="auto"/>
        <w:rPr>
          <w:rFonts w:ascii="Arial" w:eastAsia="Times New Roman" w:hAnsi="Arial" w:cs="Arial"/>
          <w:color w:val="252525"/>
          <w:sz w:val="20"/>
          <w:szCs w:val="20"/>
        </w:rPr>
      </w:pPr>
    </w:p>
    <w:p w:rsidR="00F52122" w:rsidRDefault="00F52122" w:rsidP="00F52122">
      <w:pPr>
        <w:spacing w:after="0" w:line="264" w:lineRule="auto"/>
        <w:rPr>
          <w:rFonts w:ascii="Arial" w:eastAsia="Times New Roman" w:hAnsi="Arial" w:cs="Arial"/>
          <w:color w:val="252525"/>
          <w:sz w:val="20"/>
          <w:szCs w:val="20"/>
        </w:rPr>
      </w:pPr>
      <w:r>
        <w:rPr>
          <w:rFonts w:ascii="Arial" w:eastAsia="Times New Roman" w:hAnsi="Arial" w:cs="Arial"/>
          <w:color w:val="252525"/>
          <w:sz w:val="20"/>
          <w:szCs w:val="20"/>
        </w:rPr>
        <w:t xml:space="preserve">If you business’s retirement does not allow for “catch-up” contributions, it can be amended to allow for </w:t>
      </w:r>
      <w:proofErr w:type="gramStart"/>
      <w:r>
        <w:rPr>
          <w:rFonts w:ascii="Arial" w:eastAsia="Times New Roman" w:hAnsi="Arial" w:cs="Arial"/>
          <w:color w:val="252525"/>
          <w:sz w:val="20"/>
          <w:szCs w:val="20"/>
        </w:rPr>
        <w:t>such</w:t>
      </w:r>
      <w:proofErr w:type="gramEnd"/>
      <w:r>
        <w:rPr>
          <w:rFonts w:ascii="Arial" w:eastAsia="Times New Roman" w:hAnsi="Arial" w:cs="Arial"/>
          <w:color w:val="252525"/>
          <w:sz w:val="20"/>
          <w:szCs w:val="20"/>
        </w:rPr>
        <w:t xml:space="preserve"> contributions.</w:t>
      </w:r>
    </w:p>
    <w:p w:rsidR="00F52122" w:rsidRDefault="00F52122" w:rsidP="00F52122">
      <w:pPr>
        <w:spacing w:after="0" w:line="264" w:lineRule="auto"/>
        <w:rPr>
          <w:rFonts w:ascii="Arial" w:eastAsia="Times New Roman" w:hAnsi="Arial" w:cs="Arial"/>
          <w:color w:val="252525"/>
          <w:sz w:val="20"/>
          <w:szCs w:val="20"/>
        </w:rPr>
      </w:pPr>
    </w:p>
    <w:p w:rsidR="00F52122" w:rsidRPr="00F52122" w:rsidRDefault="00F52122" w:rsidP="00F52122">
      <w:pPr>
        <w:spacing w:after="0" w:line="264" w:lineRule="auto"/>
        <w:rPr>
          <w:rFonts w:ascii="Arial" w:hAnsi="Arial" w:cs="Arial"/>
          <w:sz w:val="20"/>
          <w:szCs w:val="20"/>
        </w:rPr>
      </w:pPr>
      <w:r w:rsidRPr="00F52122">
        <w:rPr>
          <w:rFonts w:ascii="Arial" w:hAnsi="Arial" w:cs="Arial"/>
          <w:sz w:val="20"/>
          <w:szCs w:val="20"/>
        </w:rPr>
        <w:t>If you have any questions concernin</w:t>
      </w:r>
      <w:r w:rsidR="00D76224">
        <w:rPr>
          <w:rFonts w:ascii="Arial" w:hAnsi="Arial" w:cs="Arial"/>
          <w:sz w:val="20"/>
          <w:szCs w:val="20"/>
        </w:rPr>
        <w:t xml:space="preserve">g this topic, </w:t>
      </w:r>
      <w:r w:rsidRPr="00F52122">
        <w:rPr>
          <w:rFonts w:ascii="Arial" w:hAnsi="Arial" w:cs="Arial"/>
          <w:sz w:val="20"/>
          <w:szCs w:val="20"/>
        </w:rPr>
        <w:t>please do not hesitate to call me at (562) 698-9891.</w:t>
      </w:r>
    </w:p>
    <w:p w:rsidR="00F52122" w:rsidRPr="00F52122" w:rsidRDefault="00F52122" w:rsidP="00F52122">
      <w:pPr>
        <w:spacing w:after="0" w:line="264" w:lineRule="auto"/>
        <w:rPr>
          <w:rFonts w:ascii="Arial" w:hAnsi="Arial" w:cs="Arial"/>
          <w:sz w:val="20"/>
          <w:szCs w:val="20"/>
        </w:rPr>
      </w:pPr>
    </w:p>
    <w:p w:rsidR="00F52122" w:rsidRPr="00F52122" w:rsidRDefault="00F52122" w:rsidP="00F52122">
      <w:pPr>
        <w:spacing w:after="0" w:line="264" w:lineRule="auto"/>
        <w:rPr>
          <w:rFonts w:ascii="Arial" w:eastAsia="Times New Roman" w:hAnsi="Arial" w:cs="Arial"/>
          <w:sz w:val="20"/>
          <w:szCs w:val="20"/>
        </w:rPr>
      </w:pPr>
      <w:r w:rsidRPr="00F52122">
        <w:rPr>
          <w:rFonts w:ascii="Arial" w:eastAsia="Times New Roman" w:hAnsi="Arial" w:cs="Arial"/>
          <w:sz w:val="20"/>
          <w:szCs w:val="20"/>
        </w:rPr>
        <w:t>Richard Scrivanich, Partner</w:t>
      </w:r>
    </w:p>
    <w:p w:rsidR="00F52122" w:rsidRPr="00F52122" w:rsidRDefault="00F52122" w:rsidP="00F52122">
      <w:pPr>
        <w:spacing w:after="0" w:line="264" w:lineRule="auto"/>
        <w:rPr>
          <w:rFonts w:ascii="Arial" w:eastAsia="Times New Roman" w:hAnsi="Arial" w:cs="Arial"/>
          <w:sz w:val="20"/>
          <w:szCs w:val="20"/>
        </w:rPr>
      </w:pPr>
      <w:r w:rsidRPr="00F52122">
        <w:rPr>
          <w:rFonts w:ascii="Arial" w:eastAsia="Times New Roman" w:hAnsi="Arial" w:cs="Arial"/>
          <w:sz w:val="20"/>
          <w:szCs w:val="20"/>
        </w:rPr>
        <w:t>For Harvey &amp; Parmelee LLP</w:t>
      </w:r>
    </w:p>
    <w:sectPr w:rsidR="00F52122" w:rsidRPr="00F5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BF"/>
    <w:rsid w:val="000F696A"/>
    <w:rsid w:val="001433BF"/>
    <w:rsid w:val="001C6E73"/>
    <w:rsid w:val="001D0012"/>
    <w:rsid w:val="001E4926"/>
    <w:rsid w:val="002516B4"/>
    <w:rsid w:val="00317461"/>
    <w:rsid w:val="003F35A1"/>
    <w:rsid w:val="005B2B71"/>
    <w:rsid w:val="0062153C"/>
    <w:rsid w:val="007B21FE"/>
    <w:rsid w:val="008B7092"/>
    <w:rsid w:val="0098172E"/>
    <w:rsid w:val="00A26A35"/>
    <w:rsid w:val="00AD32C8"/>
    <w:rsid w:val="00B133FD"/>
    <w:rsid w:val="00B35985"/>
    <w:rsid w:val="00D76224"/>
    <w:rsid w:val="00E1378C"/>
    <w:rsid w:val="00F23E5C"/>
    <w:rsid w:val="00F52122"/>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9355">
      <w:bodyDiv w:val="1"/>
      <w:marLeft w:val="0"/>
      <w:marRight w:val="0"/>
      <w:marTop w:val="0"/>
      <w:marBottom w:val="0"/>
      <w:divBdr>
        <w:top w:val="none" w:sz="0" w:space="0" w:color="auto"/>
        <w:left w:val="none" w:sz="0" w:space="0" w:color="auto"/>
        <w:bottom w:val="none" w:sz="0" w:space="0" w:color="auto"/>
        <w:right w:val="none" w:sz="0" w:space="0" w:color="auto"/>
      </w:divBdr>
      <w:divsChild>
        <w:div w:id="881870721">
          <w:marLeft w:val="0"/>
          <w:marRight w:val="0"/>
          <w:marTop w:val="0"/>
          <w:marBottom w:val="0"/>
          <w:divBdr>
            <w:top w:val="none" w:sz="0" w:space="0" w:color="auto"/>
            <w:left w:val="none" w:sz="0" w:space="0" w:color="auto"/>
            <w:bottom w:val="none" w:sz="0" w:space="0" w:color="auto"/>
            <w:right w:val="none" w:sz="0" w:space="0" w:color="auto"/>
          </w:divBdr>
          <w:divsChild>
            <w:div w:id="621620289">
              <w:marLeft w:val="0"/>
              <w:marRight w:val="0"/>
              <w:marTop w:val="0"/>
              <w:marBottom w:val="0"/>
              <w:divBdr>
                <w:top w:val="none" w:sz="0" w:space="0" w:color="auto"/>
                <w:left w:val="none" w:sz="0" w:space="0" w:color="auto"/>
                <w:bottom w:val="none" w:sz="0" w:space="0" w:color="auto"/>
                <w:right w:val="none" w:sz="0" w:space="0" w:color="auto"/>
              </w:divBdr>
              <w:divsChild>
                <w:div w:id="2095517471">
                  <w:marLeft w:val="0"/>
                  <w:marRight w:val="0"/>
                  <w:marTop w:val="0"/>
                  <w:marBottom w:val="0"/>
                  <w:divBdr>
                    <w:top w:val="none" w:sz="0" w:space="0" w:color="auto"/>
                    <w:left w:val="none" w:sz="0" w:space="0" w:color="auto"/>
                    <w:bottom w:val="none" w:sz="0" w:space="0" w:color="auto"/>
                    <w:right w:val="none" w:sz="0" w:space="0" w:color="auto"/>
                  </w:divBdr>
                  <w:divsChild>
                    <w:div w:id="738358874">
                      <w:marLeft w:val="600"/>
                      <w:marRight w:val="0"/>
                      <w:marTop w:val="264"/>
                      <w:marBottom w:val="264"/>
                      <w:divBdr>
                        <w:top w:val="none" w:sz="0" w:space="0" w:color="auto"/>
                        <w:left w:val="none" w:sz="0" w:space="0" w:color="auto"/>
                        <w:bottom w:val="none" w:sz="0" w:space="0" w:color="auto"/>
                        <w:right w:val="none" w:sz="0" w:space="0" w:color="auto"/>
                      </w:divBdr>
                    </w:div>
                  </w:divsChild>
                </w:div>
              </w:divsChild>
            </w:div>
            <w:div w:id="1533376942">
              <w:marLeft w:val="0"/>
              <w:marRight w:val="0"/>
              <w:marTop w:val="300"/>
              <w:marBottom w:val="150"/>
              <w:divBdr>
                <w:top w:val="none" w:sz="0" w:space="0" w:color="auto"/>
                <w:left w:val="none" w:sz="0" w:space="0" w:color="auto"/>
                <w:bottom w:val="none" w:sz="0" w:space="0" w:color="auto"/>
                <w:right w:val="none" w:sz="0" w:space="0" w:color="auto"/>
              </w:divBdr>
            </w:div>
          </w:divsChild>
        </w:div>
        <w:div w:id="401023029">
          <w:marLeft w:val="0"/>
          <w:marRight w:val="0"/>
          <w:marTop w:val="0"/>
          <w:marBottom w:val="0"/>
          <w:divBdr>
            <w:top w:val="none" w:sz="0" w:space="0" w:color="auto"/>
            <w:left w:val="none" w:sz="0" w:space="0" w:color="auto"/>
            <w:bottom w:val="none" w:sz="0" w:space="0" w:color="auto"/>
            <w:right w:val="none" w:sz="0" w:space="0" w:color="auto"/>
          </w:divBdr>
          <w:divsChild>
            <w:div w:id="120332874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4</cp:revision>
  <dcterms:created xsi:type="dcterms:W3CDTF">2016-06-29T22:01:00Z</dcterms:created>
  <dcterms:modified xsi:type="dcterms:W3CDTF">2016-06-30T00:06:00Z</dcterms:modified>
</cp:coreProperties>
</file>