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7A9" w:rsidRDefault="006D17A9" w:rsidP="006D17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Tax Tips</w:t>
      </w:r>
    </w:p>
    <w:p w:rsidR="006D17A9" w:rsidRDefault="006D17A9" w:rsidP="006D17A9">
      <w:pPr>
        <w:spacing w:after="0" w:line="240" w:lineRule="auto"/>
        <w:rPr>
          <w:rFonts w:ascii="Times New Roman" w:hAnsi="Times New Roman" w:cs="Times New Roman"/>
          <w:b/>
          <w:sz w:val="24"/>
          <w:szCs w:val="24"/>
        </w:rPr>
      </w:pPr>
    </w:p>
    <w:p w:rsidR="006D17A9" w:rsidRPr="006D17A9" w:rsidRDefault="006D17A9" w:rsidP="006D17A9">
      <w:pPr>
        <w:spacing w:after="0" w:line="240" w:lineRule="auto"/>
        <w:rPr>
          <w:rFonts w:ascii="Times New Roman" w:hAnsi="Times New Roman" w:cs="Times New Roman"/>
          <w:b/>
          <w:sz w:val="24"/>
          <w:szCs w:val="24"/>
        </w:rPr>
      </w:pPr>
      <w:r w:rsidRPr="006D17A9">
        <w:rPr>
          <w:rFonts w:ascii="Times New Roman" w:hAnsi="Times New Roman" w:cs="Times New Roman"/>
          <w:b/>
          <w:sz w:val="24"/>
          <w:szCs w:val="24"/>
        </w:rPr>
        <w:t>Casualty Gains</w:t>
      </w:r>
      <w:r>
        <w:rPr>
          <w:rFonts w:ascii="Times New Roman" w:hAnsi="Times New Roman" w:cs="Times New Roman"/>
          <w:b/>
          <w:sz w:val="24"/>
          <w:szCs w:val="24"/>
        </w:rPr>
        <w:t xml:space="preserve"> (Part 2 of 2)</w:t>
      </w:r>
    </w:p>
    <w:p w:rsidR="006D17A9" w:rsidRDefault="006D17A9" w:rsidP="006D17A9">
      <w:pPr>
        <w:spacing w:after="0" w:line="240" w:lineRule="auto"/>
        <w:rPr>
          <w:rFonts w:ascii="Times New Roman" w:hAnsi="Times New Roman" w:cs="Times New Roman"/>
          <w:sz w:val="24"/>
          <w:szCs w:val="24"/>
        </w:rPr>
      </w:pPr>
    </w:p>
    <w:p w:rsidR="006D17A9" w:rsidRPr="006D17A9" w:rsidRDefault="006D17A9" w:rsidP="006D17A9">
      <w:pPr>
        <w:spacing w:after="0" w:line="240" w:lineRule="auto"/>
        <w:rPr>
          <w:rFonts w:ascii="Times New Roman" w:eastAsia="Times New Roman" w:hAnsi="Times New Roman" w:cs="Times New Roman"/>
          <w:sz w:val="24"/>
          <w:szCs w:val="24"/>
        </w:rPr>
      </w:pPr>
      <w:r w:rsidRPr="006D17A9">
        <w:rPr>
          <w:rFonts w:ascii="Times New Roman" w:hAnsi="Times New Roman" w:cs="Times New Roman"/>
          <w:sz w:val="24"/>
          <w:szCs w:val="24"/>
        </w:rPr>
        <w:t>As you may recall, in last month’s Tax Tips we began a discussion conce</w:t>
      </w:r>
      <w:r>
        <w:rPr>
          <w:rFonts w:ascii="Times New Roman" w:hAnsi="Times New Roman" w:cs="Times New Roman"/>
          <w:sz w:val="24"/>
          <w:szCs w:val="24"/>
        </w:rPr>
        <w:t xml:space="preserve">rning the IRS rules applicable casualty gains. </w:t>
      </w:r>
      <w:r w:rsidRPr="006D17A9">
        <w:rPr>
          <w:rFonts w:ascii="Times New Roman" w:hAnsi="Times New Roman" w:cs="Times New Roman"/>
          <w:sz w:val="24"/>
          <w:szCs w:val="24"/>
        </w:rPr>
        <w:t>In this article, we’ll wrap up our discuss</w:t>
      </w:r>
      <w:r>
        <w:rPr>
          <w:rFonts w:ascii="Times New Roman" w:hAnsi="Times New Roman" w:cs="Times New Roman"/>
          <w:sz w:val="24"/>
          <w:szCs w:val="24"/>
        </w:rPr>
        <w:t>ion of the IRS rules concerning casualty gains</w:t>
      </w:r>
      <w:r w:rsidR="0058127A">
        <w:rPr>
          <w:rFonts w:ascii="Times New Roman" w:hAnsi="Times New Roman" w:cs="Times New Roman"/>
          <w:sz w:val="24"/>
          <w:szCs w:val="24"/>
        </w:rPr>
        <w:t>.</w:t>
      </w:r>
    </w:p>
    <w:p w:rsidR="006D17A9" w:rsidRDefault="006D17A9" w:rsidP="006D17A9">
      <w:pPr>
        <w:spacing w:after="0" w:line="240" w:lineRule="auto"/>
        <w:rPr>
          <w:rFonts w:ascii="Times New Roman" w:eastAsia="Times New Roman" w:hAnsi="Times New Roman" w:cs="Times New Roman"/>
          <w:sz w:val="24"/>
          <w:szCs w:val="24"/>
        </w:rPr>
      </w:pPr>
    </w:p>
    <w:p w:rsidR="006D17A9" w:rsidRDefault="006D17A9" w:rsidP="006D17A9">
      <w:pPr>
        <w:spacing w:after="0" w:line="240" w:lineRule="auto"/>
        <w:rPr>
          <w:rFonts w:ascii="Times New Roman" w:eastAsia="Times New Roman" w:hAnsi="Times New Roman" w:cs="Times New Roman"/>
          <w:sz w:val="24"/>
          <w:szCs w:val="24"/>
        </w:rPr>
      </w:pPr>
      <w:r w:rsidRPr="00902CBF">
        <w:rPr>
          <w:rFonts w:ascii="Times New Roman" w:eastAsia="Times New Roman" w:hAnsi="Times New Roman" w:cs="Times New Roman"/>
          <w:sz w:val="24"/>
          <w:szCs w:val="24"/>
        </w:rPr>
        <w:t>Principal residences. Where the property damaged by the casualty is the taxpayer's home it may be even easier to avoid tax on a casualty gain. As you may be aware, if you used your home as your “principal residence” (e.g., not merely as a vacation home) for at least two years out of the previous five, you can exclude up to $250,000 of gain on its sale ($500,000 for married couples filing jointly, as long as the use tests are met by both spouses). This exclusion cannot be used more than once in a two-year period.</w:t>
      </w:r>
    </w:p>
    <w:p w:rsidR="006D17A9" w:rsidRDefault="006D17A9" w:rsidP="006D17A9">
      <w:pPr>
        <w:spacing w:after="0" w:line="240" w:lineRule="auto"/>
        <w:rPr>
          <w:rFonts w:ascii="Times New Roman" w:eastAsia="Times New Roman" w:hAnsi="Times New Roman" w:cs="Times New Roman"/>
          <w:sz w:val="24"/>
          <w:szCs w:val="24"/>
        </w:rPr>
      </w:pPr>
    </w:p>
    <w:p w:rsidR="006D17A9" w:rsidRDefault="006D17A9" w:rsidP="006D17A9">
      <w:pPr>
        <w:spacing w:after="0" w:line="240" w:lineRule="auto"/>
        <w:rPr>
          <w:rFonts w:ascii="Times New Roman" w:eastAsia="Times New Roman" w:hAnsi="Times New Roman" w:cs="Times New Roman"/>
          <w:sz w:val="24"/>
          <w:szCs w:val="24"/>
        </w:rPr>
      </w:pPr>
      <w:r w:rsidRPr="00902CBF">
        <w:rPr>
          <w:rFonts w:ascii="Times New Roman" w:eastAsia="Times New Roman" w:hAnsi="Times New Roman" w:cs="Times New Roman"/>
          <w:sz w:val="24"/>
          <w:szCs w:val="24"/>
        </w:rPr>
        <w:t>Significantly, for our purposes, these exclusion rules apply to gains from the destruction of the home as well. Thus, casualty gains of up to $250,000 ($500,000 for married couples) can be excluded from gross income if the destroyed property is a principal residence.</w:t>
      </w:r>
    </w:p>
    <w:p w:rsidR="006D17A9" w:rsidRDefault="006D17A9" w:rsidP="006D17A9">
      <w:pPr>
        <w:spacing w:after="0" w:line="240" w:lineRule="auto"/>
        <w:rPr>
          <w:rFonts w:ascii="Times New Roman" w:eastAsia="Times New Roman" w:hAnsi="Times New Roman" w:cs="Times New Roman"/>
          <w:sz w:val="24"/>
          <w:szCs w:val="24"/>
        </w:rPr>
      </w:pPr>
    </w:p>
    <w:p w:rsidR="006D17A9" w:rsidRDefault="006D17A9" w:rsidP="006D17A9">
      <w:pPr>
        <w:spacing w:after="0" w:line="240" w:lineRule="auto"/>
        <w:rPr>
          <w:rFonts w:ascii="Times New Roman" w:eastAsia="Times New Roman" w:hAnsi="Times New Roman" w:cs="Times New Roman"/>
          <w:sz w:val="24"/>
          <w:szCs w:val="24"/>
        </w:rPr>
      </w:pPr>
      <w:r w:rsidRPr="00902CBF">
        <w:rPr>
          <w:rFonts w:ascii="Times New Roman" w:eastAsia="Times New Roman" w:hAnsi="Times New Roman" w:cs="Times New Roman"/>
          <w:sz w:val="24"/>
          <w:szCs w:val="24"/>
        </w:rPr>
        <w:t xml:space="preserve">If the casualty gain on a home exceeds the amount of the exclusion, the excess amount can be deferred under the involuntary conversion rules. In this case, to defer the remainder of the gain, the cost of the replacement property need only be equal to the insurance proceeds minus the excluded amount. </w:t>
      </w:r>
    </w:p>
    <w:p w:rsidR="006D17A9" w:rsidRDefault="006D17A9" w:rsidP="006D17A9">
      <w:pPr>
        <w:spacing w:after="0" w:line="240" w:lineRule="auto"/>
        <w:rPr>
          <w:rFonts w:ascii="Times New Roman" w:eastAsia="Times New Roman" w:hAnsi="Times New Roman" w:cs="Times New Roman"/>
          <w:sz w:val="24"/>
          <w:szCs w:val="24"/>
        </w:rPr>
      </w:pPr>
    </w:p>
    <w:p w:rsidR="006D17A9" w:rsidRDefault="006D17A9" w:rsidP="006D17A9">
      <w:pPr>
        <w:spacing w:after="0" w:line="240" w:lineRule="auto"/>
        <w:rPr>
          <w:rFonts w:ascii="Times New Roman" w:eastAsia="Times New Roman" w:hAnsi="Times New Roman" w:cs="Times New Roman"/>
          <w:sz w:val="24"/>
          <w:szCs w:val="24"/>
        </w:rPr>
      </w:pPr>
      <w:r w:rsidRPr="00902CBF">
        <w:rPr>
          <w:rFonts w:ascii="Times New Roman" w:eastAsia="Times New Roman" w:hAnsi="Times New Roman" w:cs="Times New Roman"/>
          <w:sz w:val="24"/>
          <w:szCs w:val="24"/>
        </w:rPr>
        <w:t>Example. A single taxpayer's home is destroyed by a hurricane and the taxpayer is paid $400,000 by his insurance company. The taxpayer's basis in the home was $100,000 so the casualty gain is $300,000. The first $250,000 of this gain is excluded from gross income under the rules that apply to sales or exchanges of principal residences. The remaining $50,000 of gain is deferred under the involuntary conversion rules as long as $150,000 ($400,000 minus $250,000) of the insurance payment is spent, within the required period, on replacement property.</w:t>
      </w:r>
    </w:p>
    <w:p w:rsidR="006D17A9" w:rsidRDefault="006D17A9" w:rsidP="006D17A9">
      <w:pPr>
        <w:spacing w:after="0" w:line="240" w:lineRule="auto"/>
        <w:rPr>
          <w:rFonts w:ascii="Times New Roman" w:eastAsia="Times New Roman" w:hAnsi="Times New Roman" w:cs="Times New Roman"/>
          <w:sz w:val="24"/>
          <w:szCs w:val="24"/>
        </w:rPr>
      </w:pPr>
    </w:p>
    <w:p w:rsidR="006D17A9" w:rsidRDefault="006D17A9" w:rsidP="006D17A9">
      <w:pPr>
        <w:spacing w:after="0" w:line="240" w:lineRule="auto"/>
        <w:rPr>
          <w:rFonts w:ascii="Times New Roman" w:eastAsia="Times New Roman" w:hAnsi="Times New Roman" w:cs="Times New Roman"/>
          <w:sz w:val="24"/>
          <w:szCs w:val="24"/>
        </w:rPr>
      </w:pPr>
      <w:r w:rsidRPr="00902CBF">
        <w:rPr>
          <w:rFonts w:ascii="Times New Roman" w:eastAsia="Times New Roman" w:hAnsi="Times New Roman" w:cs="Times New Roman"/>
          <w:sz w:val="24"/>
          <w:szCs w:val="24"/>
        </w:rPr>
        <w:t>Finally, additional tax help may be available if your home is destroyed by a casualty that is part of a Presidentially declared disaster. Special rules make it easier to avoid gain on insurance payments you receive for your personal property damaged in the disaster. And the involuntary conversion timing rules are expanded to allow you a four-year period calculated similarly to the two-year period described above. Further, a five-year period calculated similarly to the two-year period described above applies for certain disasters designated by statute.</w:t>
      </w:r>
    </w:p>
    <w:p w:rsidR="006D17A9" w:rsidRDefault="006D17A9" w:rsidP="006D17A9">
      <w:pPr>
        <w:spacing w:after="0" w:line="240" w:lineRule="auto"/>
        <w:rPr>
          <w:rFonts w:ascii="Times New Roman" w:eastAsia="Times New Roman" w:hAnsi="Times New Roman" w:cs="Times New Roman"/>
          <w:sz w:val="24"/>
          <w:szCs w:val="24"/>
        </w:rPr>
      </w:pPr>
    </w:p>
    <w:p w:rsidR="006D17A9" w:rsidRDefault="006D17A9" w:rsidP="006D17A9">
      <w:pPr>
        <w:spacing w:after="0" w:line="240" w:lineRule="auto"/>
        <w:rPr>
          <w:rFonts w:ascii="Times New Roman" w:eastAsia="Times New Roman" w:hAnsi="Times New Roman" w:cs="Times New Roman"/>
          <w:sz w:val="24"/>
          <w:szCs w:val="24"/>
        </w:rPr>
      </w:pPr>
      <w:r w:rsidRPr="00902CBF">
        <w:rPr>
          <w:rFonts w:ascii="Times New Roman" w:eastAsia="Times New Roman" w:hAnsi="Times New Roman" w:cs="Times New Roman"/>
          <w:sz w:val="24"/>
          <w:szCs w:val="24"/>
        </w:rPr>
        <w:t>In summary, while casualty gains may be taxable, a variety of rules can be used to defer or avoid tax in many cases. The rules can be complex, however, and frequently large amounts are at stake.</w:t>
      </w:r>
    </w:p>
    <w:p w:rsidR="006D17A9" w:rsidRDefault="006D17A9" w:rsidP="006D17A9">
      <w:pPr>
        <w:spacing w:after="0" w:line="240" w:lineRule="auto"/>
        <w:rPr>
          <w:rFonts w:ascii="Times New Roman" w:eastAsia="Times New Roman" w:hAnsi="Times New Roman" w:cs="Times New Roman"/>
          <w:sz w:val="24"/>
          <w:szCs w:val="24"/>
        </w:rPr>
      </w:pPr>
    </w:p>
    <w:p w:rsidR="006D17A9" w:rsidRDefault="006D17A9" w:rsidP="006D17A9">
      <w:pPr>
        <w:spacing w:after="0" w:line="264" w:lineRule="auto"/>
        <w:rPr>
          <w:rFonts w:ascii="Times New Roman" w:hAnsi="Times New Roman" w:cs="Times New Roman"/>
        </w:rPr>
      </w:pPr>
      <w:bookmarkStart w:id="0" w:name="_GoBack"/>
      <w:r w:rsidRPr="003377CF">
        <w:rPr>
          <w:rFonts w:ascii="Times New Roman" w:hAnsi="Times New Roman" w:cs="Times New Roman"/>
        </w:rPr>
        <w:t>If you have any question</w:t>
      </w:r>
      <w:r>
        <w:rPr>
          <w:rFonts w:ascii="Times New Roman" w:hAnsi="Times New Roman" w:cs="Times New Roman"/>
        </w:rPr>
        <w:t>s concerning casualty gains</w:t>
      </w:r>
      <w:r w:rsidRPr="003377CF">
        <w:rPr>
          <w:rFonts w:ascii="Times New Roman" w:hAnsi="Times New Roman" w:cs="Times New Roman"/>
        </w:rPr>
        <w:t>, please do not hesitate to call me at (562) 698-9891.</w:t>
      </w:r>
    </w:p>
    <w:p w:rsidR="006D17A9" w:rsidRDefault="006D17A9" w:rsidP="006D17A9">
      <w:pPr>
        <w:spacing w:after="0" w:line="264" w:lineRule="auto"/>
        <w:rPr>
          <w:rFonts w:ascii="Times New Roman" w:hAnsi="Times New Roman" w:cs="Times New Roman"/>
        </w:rPr>
      </w:pPr>
    </w:p>
    <w:p w:rsidR="006D17A9" w:rsidRDefault="006D17A9" w:rsidP="006D17A9">
      <w:pPr>
        <w:spacing w:after="0" w:line="264" w:lineRule="auto"/>
        <w:rPr>
          <w:rFonts w:ascii="Times New Roman" w:eastAsia="Times New Roman" w:hAnsi="Times New Roman" w:cs="Times New Roman"/>
        </w:rPr>
      </w:pPr>
      <w:r w:rsidRPr="003377CF">
        <w:rPr>
          <w:rFonts w:ascii="Times New Roman" w:eastAsia="Times New Roman" w:hAnsi="Times New Roman" w:cs="Times New Roman"/>
        </w:rPr>
        <w:t>Richard Scrivanich, Partner</w:t>
      </w:r>
    </w:p>
    <w:p w:rsidR="00E1378C" w:rsidRPr="006D17A9" w:rsidRDefault="006D17A9" w:rsidP="006D17A9">
      <w:pPr>
        <w:spacing w:after="0" w:line="264" w:lineRule="auto"/>
        <w:rPr>
          <w:rFonts w:ascii="Times New Roman" w:eastAsia="Times New Roman" w:hAnsi="Times New Roman" w:cs="Times New Roman"/>
        </w:rPr>
      </w:pPr>
      <w:r>
        <w:rPr>
          <w:rFonts w:ascii="Times New Roman" w:eastAsia="Times New Roman" w:hAnsi="Times New Roman" w:cs="Times New Roman"/>
        </w:rPr>
        <w:t>For Harvey &amp; Parmelee LLP</w:t>
      </w:r>
    </w:p>
    <w:bookmarkEnd w:id="0"/>
    <w:p w:rsidR="00344220" w:rsidRPr="006D17A9" w:rsidRDefault="00344220">
      <w:pPr>
        <w:spacing w:after="0" w:line="264" w:lineRule="auto"/>
        <w:rPr>
          <w:rFonts w:ascii="Times New Roman" w:eastAsia="Times New Roman" w:hAnsi="Times New Roman" w:cs="Times New Roman"/>
        </w:rPr>
      </w:pPr>
    </w:p>
    <w:sectPr w:rsidR="00344220" w:rsidRPr="006D17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7A9"/>
    <w:rsid w:val="000F696A"/>
    <w:rsid w:val="001C6E73"/>
    <w:rsid w:val="001D0012"/>
    <w:rsid w:val="001E4926"/>
    <w:rsid w:val="002516B4"/>
    <w:rsid w:val="00317461"/>
    <w:rsid w:val="00344220"/>
    <w:rsid w:val="003F35A1"/>
    <w:rsid w:val="0058127A"/>
    <w:rsid w:val="005B2B71"/>
    <w:rsid w:val="0062153C"/>
    <w:rsid w:val="006D17A9"/>
    <w:rsid w:val="007B21FE"/>
    <w:rsid w:val="008B7092"/>
    <w:rsid w:val="0098172E"/>
    <w:rsid w:val="00A26A35"/>
    <w:rsid w:val="00AD32C8"/>
    <w:rsid w:val="00B133FD"/>
    <w:rsid w:val="00B35985"/>
    <w:rsid w:val="00E1378C"/>
    <w:rsid w:val="00F23E5C"/>
    <w:rsid w:val="00FE4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Scrivanich</dc:creator>
  <cp:lastModifiedBy>Rich Scrivanich</cp:lastModifiedBy>
  <cp:revision>3</cp:revision>
  <dcterms:created xsi:type="dcterms:W3CDTF">2015-10-05T19:52:00Z</dcterms:created>
  <dcterms:modified xsi:type="dcterms:W3CDTF">2015-10-05T22:35:00Z</dcterms:modified>
</cp:coreProperties>
</file>